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1522730</wp:posOffset>
                </wp:positionH>
                <wp:positionV relativeFrom="paragraph">
                  <wp:posOffset>-12700</wp:posOffset>
                </wp:positionV>
                <wp:extent cx="4643755" cy="1437640"/>
                <wp:effectExtent l="0" t="0" r="0" b="0"/>
                <wp:wrapSquare wrapText="bothSides"/>
                <wp:docPr id="1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280" cy="143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 xml:space="preserve">CONSELHO MUNICIPAL 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xx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kern w:val="2"/>
                                <w:sz w:val="18"/>
                                <w:szCs w:val="18"/>
                                <w:lang w:val="pt-BR" w:eastAsia="zxx"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kern w:val="2"/>
                                <w:sz w:val="18"/>
                                <w:szCs w:val="22"/>
                                <w:lang w:val="pt-BR" w:eastAsia="zxx" w:bidi="ar-SA"/>
                              </w:rPr>
                              <w:t>Rua Marechal Floriano, 1492</w:t>
                            </w:r>
                            <w:r>
                              <w:rPr>
                                <w:rFonts w:eastAsia="Calibri" w:cs="Calibri"/>
                                <w:color w:val="auto"/>
                                <w:kern w:val="2"/>
                                <w:sz w:val="18"/>
                                <w:szCs w:val="22"/>
                                <w:lang w:val="pt-BR" w:eastAsia="zxx" w:bidi="ar-SA"/>
                              </w:rPr>
                              <w:t>-    Fone: 3715 6230   CEP: 96835-001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f" style="position:absolute;margin-left:119.9pt;margin-top:-1pt;width:365.55pt;height:113.1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 xml:space="preserve">CONSELHO MUNICIPAL 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xx"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auto"/>
                          <w:kern w:val="2"/>
                          <w:sz w:val="18"/>
                          <w:szCs w:val="18"/>
                          <w:lang w:val="pt-BR" w:eastAsia="zxx" w:bidi="ar-SA"/>
                        </w:rPr>
                        <w:t>CRIADO PELA LEI MUNICIPAL Nº 2333 DE 03/12/90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auto"/>
                          <w:kern w:val="2"/>
                          <w:sz w:val="18"/>
                          <w:szCs w:val="22"/>
                          <w:lang w:val="pt-BR" w:eastAsia="zxx" w:bidi="ar-SA"/>
                        </w:rPr>
                        <w:t>Rua Marechal Floriano, 1492</w:t>
                      </w:r>
                      <w:r>
                        <w:rPr>
                          <w:rFonts w:eastAsia="Calibri" w:cs="Calibri"/>
                          <w:color w:val="auto"/>
                          <w:kern w:val="2"/>
                          <w:sz w:val="18"/>
                          <w:szCs w:val="22"/>
                          <w:lang w:val="pt-BR" w:eastAsia="zxx" w:bidi="ar-SA"/>
                        </w:rPr>
                        <w:t>-    Fone: 3715 6230   CEP: 96835-001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-233680</wp:posOffset>
            </wp:positionH>
            <wp:positionV relativeFrom="paragraph">
              <wp:posOffset>-65405</wp:posOffset>
            </wp:positionV>
            <wp:extent cx="1703070" cy="1416050"/>
            <wp:effectExtent l="0" t="0" r="0" b="0"/>
            <wp:wrapTopAndBottom/>
            <wp:docPr id="3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  <w:u w:val="none"/>
        </w:rPr>
      </w:pPr>
      <w:r>
        <w:rPr>
          <w:b w:val="false"/>
          <w:bCs w:val="false"/>
          <w:sz w:val="26"/>
          <w:szCs w:val="26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RESOLUÇÃO 0</w:t>
      </w:r>
      <w:r>
        <w:rPr>
          <w:rFonts w:cs="Arial" w:ascii="Arial" w:hAnsi="Arial"/>
          <w:b/>
          <w:bCs/>
          <w:sz w:val="24"/>
          <w:szCs w:val="24"/>
          <w:u w:val="none"/>
        </w:rPr>
        <w:t>0</w:t>
      </w:r>
      <w:r>
        <w:rPr>
          <w:rFonts w:cs="Arial" w:ascii="Arial" w:hAnsi="Arial"/>
          <w:b/>
          <w:bCs/>
          <w:sz w:val="24"/>
          <w:szCs w:val="24"/>
          <w:u w:val="none"/>
        </w:rPr>
        <w:t>4/202</w:t>
      </w:r>
      <w:r>
        <w:rPr>
          <w:rFonts w:cs="Arial" w:ascii="Arial" w:hAnsi="Arial"/>
          <w:b/>
          <w:bCs/>
          <w:sz w:val="24"/>
          <w:szCs w:val="24"/>
          <w:u w:val="none"/>
        </w:rPr>
        <w:t>6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Aprova a Renovação do Registro de Entidade e Programa de Atendimento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O Conselho Municipal dos Direitos da Criança e do Adolescente de Santa Cruz do Sul, em Sessão Plenária Ordinária do dia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31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/0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/202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6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no uso de suas atribuições legais, conforme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Lei Municipal nº9.252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>, de 18 de abril de 2023, 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consolida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legislação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que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trata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Política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Proteção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Atendimento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do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Tutelar,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Fundo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 que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institui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Fórum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, por maioria absoluta de seus membros,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RESOLVE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Aprovar a Renovação da inscrição do Programa de Atendimento intitulado: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“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Escolinha de Futsal - Flamengo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 xml:space="preserve">”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no registro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0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62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/20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16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da entidade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Fonts w:eastAsia="Lucida Sans Unicode" w:cs="Arial" w:ascii="Arial" w:hAnsi="Arial"/>
          <w:b/>
          <w:bCs/>
          <w:color w:val="auto"/>
          <w:sz w:val="24"/>
          <w:szCs w:val="24"/>
          <w:u w:val="none"/>
          <w:lang w:val="pt-BR" w:eastAsia="zxx" w:bidi="zxx"/>
        </w:rPr>
        <w:t>Sociedade Cultural Beneficente e Recreativa Flamengo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, neste Conselho, com validade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  <w:u w:val="none"/>
        </w:rPr>
        <w:t xml:space="preserve">de </w:t>
      </w:r>
      <w:r>
        <w:rPr>
          <w:rFonts w:cs="Arial" w:ascii="Arial" w:hAnsi="Arial"/>
          <w:b/>
          <w:bCs/>
          <w:color w:val="auto"/>
          <w:sz w:val="24"/>
          <w:szCs w:val="24"/>
          <w:u w:val="none"/>
        </w:rPr>
        <w:t xml:space="preserve">31 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de 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>março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 de 202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 a 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>31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 de 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>março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 de 20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>30</w:t>
      </w:r>
      <w:r>
        <w:rPr>
          <w:rFonts w:cs="Arial" w:ascii="Arial" w:hAnsi="Arial"/>
          <w:b/>
          <w:bCs/>
          <w:color w:val="000000"/>
          <w:sz w:val="24"/>
          <w:szCs w:val="24"/>
          <w:highlight w:val="white"/>
          <w:u w:val="none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color w:val="000000"/>
          <w:sz w:val="24"/>
          <w:szCs w:val="24"/>
          <w:highlight w:val="white"/>
          <w:u w:val="none"/>
        </w:rPr>
      </w:pPr>
      <w:r>
        <w:rPr/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color w:val="000000"/>
          <w:sz w:val="24"/>
          <w:szCs w:val="24"/>
          <w:highlight w:val="white"/>
          <w:u w:val="none"/>
        </w:rPr>
      </w:pPr>
      <w:r>
        <w:rPr/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white"/>
          <w:u w:val="none"/>
        </w:rPr>
        <w:t>Esta resolução entra em vigor na data da sua aprovação.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color w:val="auto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color w:val="auto"/>
          <w:sz w:val="24"/>
          <w:szCs w:val="24"/>
          <w:lang w:val="pt-BR" w:eastAsia="zxx" w:bidi="ar-SA"/>
        </w:rPr>
        <w:t>__________________________</w:t>
      </w:r>
    </w:p>
    <w:p>
      <w:pPr>
        <w:pStyle w:val="Ttulo1"/>
        <w:keepNext w:val="true"/>
        <w:tabs>
          <w:tab w:val="clear" w:pos="408"/>
          <w:tab w:val="left" w:pos="0" w:leader="none"/>
        </w:tabs>
        <w:spacing w:lineRule="auto" w:line="360"/>
        <w:ind w:left="0" w:right="0" w:hanging="0"/>
        <w:jc w:val="center"/>
        <w:rPr/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val="pt-BR" w:eastAsia="zxx" w:bidi="ar-SA"/>
        </w:rPr>
        <w:t xml:space="preserve">Maqueli  </w:t>
      </w:r>
      <w:r>
        <w:rPr>
          <w:rFonts w:eastAsia="Times New Roman" w:cs="Arial"/>
          <w:b/>
          <w:bCs/>
          <w:color w:val="auto"/>
          <w:sz w:val="24"/>
          <w:szCs w:val="24"/>
          <w:u w:val="none"/>
          <w:lang w:val="pt-BR" w:eastAsia="zxx" w:bidi="ar-SA"/>
        </w:rPr>
        <w:t>Geanezini da Silva</w:t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u w:val="none"/>
          <w:lang w:val="pt-BR" w:eastAsia="zxx" w:bidi="ar-SA"/>
        </w:rPr>
        <w:t>Presidente do COMDICA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 Unicode MS" w:cs="Tahoma"/>
      <w:color w:val="00000A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jc w:val="center"/>
      <w:outlineLvl w:val="2"/>
    </w:pPr>
    <w:rPr>
      <w:rFonts w:ascii="Arial" w:hAnsi="Arial" w:cs="Arial"/>
      <w:b/>
      <w:bCs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543</TotalTime>
  <Application>LibreOffice/6.2.8.2$Windows_X86_64 LibreOffice_project/f82ddfca21ebc1e222a662a32b25c0c9d20169ee</Application>
  <Pages>1</Pages>
  <Words>205</Words>
  <Characters>1084</Characters>
  <CharactersWithSpaces>1286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2019-08-12T13:13:50Z</dcterms:created>
  <dc:creator/>
  <dc:description/>
  <dc:language>pt-BR</dc:language>
  <cp:lastModifiedBy/>
  <cp:lastPrinted>2025-06-10T10:05:40Z</cp:lastPrinted>
  <dcterms:modified xsi:type="dcterms:W3CDTF">2026-03-18T14:38:21Z</dcterms:modified>
  <cp:revision>55</cp:revision>
  <dc:subject/>
  <dc:title/>
</cp:coreProperties>
</file>